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2" w:rsidRDefault="003A0082" w:rsidP="00F1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noProof/>
          <w:sz w:val="32"/>
          <w:szCs w:val="20"/>
        </w:rPr>
      </w:pPr>
      <w:bookmarkStart w:id="0" w:name="_GoBack"/>
      <w:bookmarkEnd w:id="0"/>
      <w:r w:rsidRPr="003A0082">
        <w:rPr>
          <w:rFonts w:ascii="Tahoma" w:hAnsi="Tahoma" w:cs="Tahoma"/>
          <w:b/>
          <w:noProof/>
          <w:sz w:val="32"/>
          <w:szCs w:val="20"/>
        </w:rPr>
        <w:t>Tender Text</w:t>
      </w:r>
    </w:p>
    <w:p w:rsidR="009475E8" w:rsidRPr="009475E8" w:rsidRDefault="009475E8" w:rsidP="00F1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A0082" w:rsidRPr="003A0082" w:rsidRDefault="003A0082" w:rsidP="00F1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3A0082">
        <w:rPr>
          <w:rFonts w:ascii="Tahoma" w:hAnsi="Tahoma" w:cs="Tahoma"/>
          <w:b/>
          <w:sz w:val="28"/>
          <w:szCs w:val="20"/>
        </w:rPr>
        <w:t>IZAR CENTER Set</w:t>
      </w:r>
    </w:p>
    <w:p w:rsidR="003A0082" w:rsidRPr="003A0082" w:rsidRDefault="003A0082" w:rsidP="003A0082">
      <w:pPr>
        <w:spacing w:after="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889"/>
        <w:gridCol w:w="6072"/>
        <w:gridCol w:w="767"/>
        <w:gridCol w:w="893"/>
      </w:tblGrid>
      <w:tr w:rsidR="003A0082" w:rsidRPr="003A0082" w:rsidTr="00EF2B94">
        <w:trPr>
          <w:trHeight w:val="584"/>
        </w:trPr>
        <w:tc>
          <w:tcPr>
            <w:tcW w:w="590" w:type="dxa"/>
            <w:vAlign w:val="center"/>
          </w:tcPr>
          <w:p w:rsidR="003A0082" w:rsidRPr="003A0082" w:rsidRDefault="003A0082" w:rsidP="003A008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082">
              <w:rPr>
                <w:rFonts w:ascii="Tahoma" w:hAnsi="Tahoma" w:cs="Tahoma"/>
                <w:sz w:val="20"/>
                <w:szCs w:val="20"/>
              </w:rPr>
              <w:t>Pos.</w:t>
            </w:r>
          </w:p>
        </w:tc>
        <w:tc>
          <w:tcPr>
            <w:tcW w:w="885" w:type="dxa"/>
            <w:vAlign w:val="center"/>
          </w:tcPr>
          <w:p w:rsidR="003A0082" w:rsidRPr="003A0082" w:rsidRDefault="003A0082" w:rsidP="003A008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0082">
              <w:rPr>
                <w:rFonts w:ascii="Tahoma" w:hAnsi="Tahoma" w:cs="Tahoma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077" w:type="dxa"/>
            <w:vAlign w:val="center"/>
          </w:tcPr>
          <w:p w:rsidR="003A0082" w:rsidRPr="003A0082" w:rsidRDefault="003A0082" w:rsidP="003A008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082">
              <w:rPr>
                <w:rFonts w:ascii="Tahoma" w:hAnsi="Tahoma" w:cs="Tahoma"/>
                <w:sz w:val="20"/>
                <w:szCs w:val="20"/>
              </w:rPr>
              <w:t xml:space="preserve">Tender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767" w:type="dxa"/>
            <w:vAlign w:val="center"/>
          </w:tcPr>
          <w:p w:rsidR="003A0082" w:rsidRPr="003A0082" w:rsidRDefault="003A0082" w:rsidP="003A008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082">
              <w:rPr>
                <w:rFonts w:ascii="Tahoma" w:hAnsi="Tahoma" w:cs="Tahoma"/>
                <w:sz w:val="20"/>
                <w:szCs w:val="20"/>
              </w:rPr>
              <w:t xml:space="preserve">Unit </w:t>
            </w:r>
          </w:p>
          <w:p w:rsidR="003A0082" w:rsidRPr="003A0082" w:rsidRDefault="003A0082" w:rsidP="003A008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0082">
              <w:rPr>
                <w:rFonts w:ascii="Tahoma" w:hAnsi="Tahoma" w:cs="Tahoma"/>
                <w:sz w:val="20"/>
                <w:szCs w:val="20"/>
              </w:rPr>
              <w:t>price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  <w:tc>
          <w:tcPr>
            <w:tcW w:w="893" w:type="dxa"/>
            <w:vAlign w:val="center"/>
          </w:tcPr>
          <w:p w:rsidR="003A0082" w:rsidRPr="003A0082" w:rsidRDefault="003A0082" w:rsidP="003A008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082">
              <w:rPr>
                <w:rFonts w:ascii="Tahoma" w:hAnsi="Tahoma" w:cs="Tahoma"/>
                <w:sz w:val="20"/>
                <w:szCs w:val="20"/>
              </w:rPr>
              <w:t xml:space="preserve">Total </w:t>
            </w:r>
          </w:p>
          <w:p w:rsidR="003A0082" w:rsidRPr="003A0082" w:rsidRDefault="003A0082" w:rsidP="003A008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0082">
              <w:rPr>
                <w:rFonts w:ascii="Tahoma" w:hAnsi="Tahoma" w:cs="Tahoma"/>
                <w:sz w:val="20"/>
                <w:szCs w:val="20"/>
              </w:rPr>
              <w:t>price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3A0082" w:rsidRPr="00F1157D" w:rsidTr="00EF2B94">
        <w:tc>
          <w:tcPr>
            <w:tcW w:w="590" w:type="dxa"/>
          </w:tcPr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</w:tcPr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7" w:type="dxa"/>
          </w:tcPr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 xml:space="preserve">IZAR CENTER Set 25 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tabs>
                <w:tab w:val="left" w:pos="540"/>
              </w:tabs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level converter / repeater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), modem (RS232), Ethernet LAN and M-Bus input. Possibility to connect an M-BUS RECEIVER for capturing radio meters. M-Bus baud rate 300 … 9600 baud. Completely built up in class IP 65 plastic installation box including power supply for connection to 110 … 230 V 50 … 60 Hz AC mains power.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25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level converter / repeater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), modem (RS232), Ethernet LAN and M-Bus input. Possibility to connect an M-BUS RECEIVER for capturing radio meters. M-Bus baud rate 300 … 9600 baud. Completely built up in class IP 66 metal installation box including power supply for connection to 230 110 … 230 V 50 … 60 Hz AC mains power.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tabs>
                <w:tab w:val="left" w:pos="540"/>
              </w:tabs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25 M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…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25 M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…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tabs>
                <w:tab w:val="left" w:pos="540"/>
              </w:tabs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tabs>
                <w:tab w:val="left" w:pos="540"/>
              </w:tabs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tabs>
                <w:tab w:val="left" w:pos="540"/>
              </w:tabs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F1157D" w:rsidRDefault="00F1157D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bookmarkStart w:id="1" w:name="_Toc492779862"/>
            <w:bookmarkStart w:id="2" w:name="_Toc493913208"/>
            <w:bookmarkStart w:id="3" w:name="_Toc510262418"/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 xml:space="preserve">IZAR CENTER Set 60 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tabs>
                <w:tab w:val="left" w:pos="540"/>
              </w:tabs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level converter / repeater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), modem (RS232), Ethernet LAN and M-Bus input. Possibility to connect an M-BUS RECEIVER for capturing radio meters. M-Bus baud rate 300 … 9600 baud. Completely built up in class IP 65 plastic installation box including power supply for connection to 110 … 230 V 50 … 60 Hz AC mains power.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60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level converter / repeater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), modem (RS232), Ethernet LAN and M-Bus input. Possibility to connect an M-BUS RECEIVER for capturing radio meters. M-Bus baud rate 300 … 9600 baud. Completely built up in class IP 66 metal installation box including power supply for connection to 230 110 … 230 V 50 … 60 Hz AC mains power.</w:t>
            </w:r>
          </w:p>
          <w:p w:rsidR="003A0082" w:rsidRPr="003A0082" w:rsidRDefault="003A0082" w:rsidP="003A0082">
            <w:pPr>
              <w:spacing w:after="0"/>
              <w:ind w:firstLine="142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60 M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…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</w:t>
            </w:r>
          </w:p>
          <w:bookmarkEnd w:id="1"/>
          <w:bookmarkEnd w:id="2"/>
          <w:bookmarkEnd w:id="3"/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60 M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…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 xml:space="preserve">IZAR CENTER Set 250 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tabs>
                <w:tab w:val="left" w:pos="540"/>
              </w:tabs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level converter / repeater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… 9600 baud. Completely built up in class IP 65 plastic installation </w:t>
            </w: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box including power supply for connection to 110 … 230 V 50 … 60 Hz AC mains power.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250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level converter / repeater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), modem (RS232), Ethernet LAN and M-Bus input. Possibility to connect an M-BUS RECEIVER for capturing radio meters. M-Bus baud rate 300 … 9600 baud. Completely built up in class IP 66 metal installation box including power supply for connection to 230 110 … 230 V 50 … 60 Hz AC mains power.</w:t>
            </w:r>
          </w:p>
          <w:p w:rsidR="003A0082" w:rsidRPr="003A0082" w:rsidRDefault="003A0082" w:rsidP="003A0082">
            <w:pPr>
              <w:spacing w:after="0"/>
              <w:ind w:firstLine="142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250 M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  <w:t>IZAR CENTER Set 250 M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</w:t>
            </w: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 xml:space="preserve">IZAR CENTER Set 25 M </w:t>
            </w:r>
            <w:proofErr w:type="spellStart"/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Analog</w:t>
            </w:r>
            <w:proofErr w:type="spellEnd"/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 Including built-in 56 K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analog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modem.</w:t>
            </w:r>
          </w:p>
          <w:p w:rsid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Default="009475E8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Default="009475E8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Pr="003A0082" w:rsidRDefault="009475E8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F1157D" w:rsidRDefault="00F1157D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  <w:t>IZAR CENTER Set 25 M Analog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 Including built-in 56 K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analog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modem.</w:t>
            </w: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 xml:space="preserve">IZAR CENTER Set 60 M </w:t>
            </w:r>
            <w:proofErr w:type="spellStart"/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Analog</w:t>
            </w:r>
            <w:proofErr w:type="spellEnd"/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 Including built-in 56 K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analog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modem.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  <w:t>IZAR CENTER Set 60 M Analog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 Including built-in 56 K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analog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modem.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 xml:space="preserve">IZAR CENTER Set 250 M </w:t>
            </w:r>
            <w:proofErr w:type="spellStart"/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Analog</w:t>
            </w:r>
            <w:proofErr w:type="spellEnd"/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 Including built-in 56 K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analog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modem.</w:t>
            </w:r>
          </w:p>
          <w:p w:rsid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Default="009475E8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Pr="003A0082" w:rsidRDefault="009475E8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  <w:t>IZAR CENTER Set 250 M Analog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 Including built-in 56 K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analog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modem.</w:t>
            </w: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25 M GSM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 Including built-in cellular GSM modem.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  <w:t>IZAR CENTER Set 25 M GSM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 Including built-in cellular GSM modem.</w:t>
            </w: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60 M GSM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 Including built-in cellular GSM modem.</w:t>
            </w:r>
          </w:p>
          <w:p w:rsid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Default="009475E8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Default="009475E8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Default="009475E8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9475E8" w:rsidRPr="003A0082" w:rsidRDefault="009475E8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  <w:t>IZAR CENTER Set 60 M GSM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60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 Including built-in cellular GSM modem.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IZAR CENTER Set 250 M GSM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65 plastic installation box including power supply for connection to 110 … 230 V 50 … 60 Hz AC mains power. Including built-in cellular GSM modem.</w:t>
            </w: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</w:pPr>
            <w:r w:rsidRPr="003A0082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da-DK"/>
              </w:rPr>
              <w:t>IZAR CENTER Set 250 M GSM IP 66</w:t>
            </w:r>
          </w:p>
          <w:p w:rsidR="003A0082" w:rsidRPr="003A0082" w:rsidRDefault="003A0082" w:rsidP="003A0082">
            <w:pPr>
              <w:numPr>
                <w:ilvl w:val="12"/>
                <w:numId w:val="0"/>
              </w:num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Full digital M-Bus master / level converter for max. 250 M-Bus devices, interfaces to PC (USB, RS232,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LAN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), modem (RS232), Ethernet LAN and M-Bus input. Possibility to connect an M-BUS RECEIVER for capturing radio meters. M-Bus baud rate 300 ... 9600 baud. Automatic reading of M-Bus meters with 256 </w:t>
            </w:r>
            <w:proofErr w:type="spell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MByte</w:t>
            </w:r>
            <w:proofErr w:type="spell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data logger memory. Automatic FTP </w:t>
            </w:r>
            <w:proofErr w:type="gramStart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>upload</w:t>
            </w:r>
            <w:proofErr w:type="gramEnd"/>
            <w:r w:rsidRPr="003A008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alarm functionality. Completely built up in class IP 66 metal installation box including power supply for connection to 110 … 230 V 50 … 60 Hz AC mains power. Including built-in cellular GSM modem.</w:t>
            </w: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A0082" w:rsidRPr="003A0082" w:rsidRDefault="003A0082" w:rsidP="003A00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67" w:type="dxa"/>
          </w:tcPr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</w:tcPr>
          <w:p w:rsidR="003A0082" w:rsidRPr="003A0082" w:rsidRDefault="003A0082" w:rsidP="003A0082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DE2D5C" w:rsidRPr="003A0082" w:rsidRDefault="00DE2D5C" w:rsidP="003A0082">
      <w:pPr>
        <w:spacing w:after="0"/>
        <w:rPr>
          <w:rFonts w:ascii="Tahoma" w:hAnsi="Tahoma" w:cs="Tahoma"/>
          <w:sz w:val="20"/>
          <w:szCs w:val="20"/>
          <w:lang w:val="en-GB"/>
        </w:rPr>
      </w:pPr>
    </w:p>
    <w:sectPr w:rsidR="00DE2D5C" w:rsidRPr="003A0082" w:rsidSect="00DE2D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1D" w:rsidRDefault="00A8571D" w:rsidP="00DE2D5C">
      <w:pPr>
        <w:spacing w:after="0" w:line="240" w:lineRule="auto"/>
      </w:pPr>
      <w:r>
        <w:separator/>
      </w:r>
    </w:p>
  </w:endnote>
  <w:endnote w:type="continuationSeparator" w:id="0">
    <w:p w:rsidR="00A8571D" w:rsidRDefault="00A8571D" w:rsidP="00DE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1636"/>
      <w:gridCol w:w="1617"/>
      <w:gridCol w:w="1570"/>
      <w:gridCol w:w="1718"/>
      <w:gridCol w:w="992"/>
    </w:tblGrid>
    <w:tr w:rsidR="00DE2D5C" w:rsidRPr="00AB737D" w:rsidTr="00AA356A">
      <w:tc>
        <w:tcPr>
          <w:tcW w:w="1546" w:type="dxa"/>
        </w:tcPr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Hydrometer GmbH</w:t>
          </w:r>
        </w:p>
      </w:tc>
      <w:tc>
        <w:tcPr>
          <w:tcW w:w="1636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617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70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18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992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</w:tr>
    <w:tr w:rsidR="00DE2D5C" w:rsidRPr="00AB737D" w:rsidTr="00AA356A">
      <w:tc>
        <w:tcPr>
          <w:tcW w:w="1546" w:type="dxa"/>
        </w:tcPr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Industriestraße 13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91522 Ansbach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Deutschland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Tel. +49 981 18 06-0</w:t>
          </w:r>
        </w:p>
        <w:p w:rsidR="00DE2D5C" w:rsidRPr="009475E8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9475E8">
            <w:rPr>
              <w:rFonts w:ascii="Tahoma" w:hAnsi="Tahoma" w:cs="Tahoma"/>
              <w:color w:val="FFFFFF" w:themeColor="background1"/>
              <w:sz w:val="12"/>
              <w:szCs w:val="12"/>
            </w:rPr>
            <w:t>Fax. +49 981 18 06-615</w:t>
          </w:r>
        </w:p>
        <w:p w:rsidR="00DE2D5C" w:rsidRPr="009475E8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9475E8">
            <w:rPr>
              <w:rFonts w:ascii="Tahoma" w:hAnsi="Tahoma" w:cs="Tahoma"/>
              <w:color w:val="FFFFFF" w:themeColor="background1"/>
              <w:sz w:val="12"/>
              <w:szCs w:val="12"/>
            </w:rPr>
            <w:t>info@hydrometer.de www.diehl.com/metering</w:t>
          </w:r>
        </w:p>
      </w:tc>
      <w:tc>
        <w:tcPr>
          <w:tcW w:w="1636" w:type="dxa"/>
        </w:tcPr>
        <w:p w:rsidR="00DE2D5C" w:rsidRPr="009475E8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617" w:type="dxa"/>
        </w:tcPr>
        <w:p w:rsidR="00DE2D5C" w:rsidRPr="009475E8" w:rsidRDefault="00DE2D5C" w:rsidP="00AA356A">
          <w:pPr>
            <w:pStyle w:val="Fuzeile"/>
            <w:rPr>
              <w:rFonts w:ascii="Tahoma" w:hAnsi="Tahoma" w:cs="Tahoma"/>
              <w:color w:val="505F64"/>
              <w:sz w:val="12"/>
              <w:szCs w:val="12"/>
            </w:rPr>
          </w:pPr>
        </w:p>
      </w:tc>
      <w:tc>
        <w:tcPr>
          <w:tcW w:w="1570" w:type="dxa"/>
        </w:tcPr>
        <w:p w:rsidR="00DE2D5C" w:rsidRPr="009475E8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718" w:type="dxa"/>
        </w:tcPr>
        <w:p w:rsidR="00DE2D5C" w:rsidRPr="009475E8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992" w:type="dxa"/>
        </w:tcPr>
        <w:sdt>
          <w:sdtPr>
            <w:rPr>
              <w:rFonts w:ascii="Tahoma" w:hAnsi="Tahoma" w:cs="Tahoma"/>
              <w:sz w:val="12"/>
              <w:szCs w:val="12"/>
            </w:rPr>
            <w:id w:val="-1704790151"/>
            <w:docPartObj>
              <w:docPartGallery w:val="Page Numbers (Top of Page)"/>
              <w:docPartUnique/>
            </w:docPartObj>
          </w:sdtPr>
          <w:sdtEndPr/>
          <w:sdtContent>
            <w:p w:rsidR="00DE2D5C" w:rsidRPr="00CA2D4B" w:rsidRDefault="00036C6D" w:rsidP="00AA356A">
              <w:pPr>
                <w:pStyle w:val="Fuzeile"/>
                <w:rPr>
                  <w:rFonts w:ascii="Tahoma" w:hAnsi="Tahoma" w:cs="Tahoma"/>
                  <w:sz w:val="12"/>
                  <w:szCs w:val="12"/>
                </w:rPr>
              </w:pPr>
              <w:proofErr w:type="spellStart"/>
              <w:r>
                <w:rPr>
                  <w:rFonts w:ascii="Tahoma" w:hAnsi="Tahoma" w:cs="Tahoma"/>
                  <w:sz w:val="12"/>
                  <w:szCs w:val="12"/>
                </w:rPr>
                <w:t>page</w:t>
              </w:r>
              <w:proofErr w:type="spellEnd"/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PAGE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12"/>
                  <w:szCs w:val="12"/>
                </w:rPr>
                <w:t>3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12"/>
                  <w:szCs w:val="12"/>
                </w:rPr>
                <w:t>of</w:t>
              </w:r>
              <w:proofErr w:type="spellEnd"/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NUMPAGES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12"/>
                  <w:szCs w:val="12"/>
                </w:rPr>
                <w:t>6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</w:p>
          </w:sdtContent>
        </w:sdt>
        <w:p w:rsidR="00DE2D5C" w:rsidRPr="004865FF" w:rsidRDefault="00DE2D5C" w:rsidP="00AA356A">
          <w:pPr>
            <w:pStyle w:val="Fuzeile"/>
            <w:spacing w:before="60" w:after="60"/>
            <w:rPr>
              <w:rFonts w:ascii="Tahoma" w:hAnsi="Tahoma" w:cs="Tahoma"/>
              <w:color w:val="505F64"/>
              <w:sz w:val="12"/>
              <w:szCs w:val="12"/>
            </w:rPr>
          </w:pPr>
        </w:p>
      </w:tc>
    </w:tr>
  </w:tbl>
  <w:p w:rsidR="00DE2D5C" w:rsidRDefault="00DE2D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1636"/>
      <w:gridCol w:w="1617"/>
      <w:gridCol w:w="1570"/>
      <w:gridCol w:w="1961"/>
      <w:gridCol w:w="992"/>
    </w:tblGrid>
    <w:tr w:rsidR="00DE2D5C" w:rsidRPr="00AB737D" w:rsidTr="00EB4563">
      <w:tc>
        <w:tcPr>
          <w:tcW w:w="1546" w:type="dxa"/>
        </w:tcPr>
        <w:p w:rsidR="00DE2D5C" w:rsidRPr="000D7E24" w:rsidRDefault="003E5CB9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Diehl Metering</w:t>
          </w:r>
          <w:r w:rsidR="00DE2D5C" w:rsidRPr="000D7E24">
            <w:rPr>
              <w:rFonts w:ascii="Tahoma" w:hAnsi="Tahoma" w:cs="Tahoma"/>
              <w:sz w:val="12"/>
              <w:szCs w:val="12"/>
            </w:rPr>
            <w:t xml:space="preserve"> GmbH</w:t>
          </w:r>
        </w:p>
      </w:tc>
      <w:tc>
        <w:tcPr>
          <w:tcW w:w="1636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617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70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961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992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</w:tc>
    </w:tr>
    <w:tr w:rsidR="00113869" w:rsidRPr="00AB737D" w:rsidTr="00EB4563">
      <w:tc>
        <w:tcPr>
          <w:tcW w:w="8330" w:type="dxa"/>
          <w:gridSpan w:val="5"/>
        </w:tcPr>
        <w:p w:rsidR="00113869" w:rsidRPr="00113869" w:rsidRDefault="00113869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  <w:r w:rsidRPr="00CA2D4B">
            <w:rPr>
              <w:rFonts w:ascii="Tahoma" w:hAnsi="Tahoma" w:cs="Tahoma"/>
              <w:sz w:val="12"/>
              <w:szCs w:val="12"/>
            </w:rPr>
            <w:t>Industriestraße 13</w:t>
          </w:r>
          <w:r>
            <w:rPr>
              <w:rFonts w:ascii="Tahoma" w:hAnsi="Tahoma" w:cs="Tahoma"/>
              <w:sz w:val="12"/>
              <w:szCs w:val="12"/>
            </w:rPr>
            <w:t xml:space="preserve"> ∙ </w:t>
          </w:r>
          <w:r w:rsidRPr="00CA2D4B">
            <w:rPr>
              <w:rFonts w:ascii="Tahoma" w:hAnsi="Tahoma" w:cs="Tahoma"/>
              <w:sz w:val="12"/>
              <w:szCs w:val="12"/>
            </w:rPr>
            <w:t>91522 Ansbach</w:t>
          </w:r>
          <w:r>
            <w:rPr>
              <w:rFonts w:ascii="Tahoma" w:hAnsi="Tahoma" w:cs="Tahoma"/>
              <w:sz w:val="12"/>
              <w:szCs w:val="12"/>
            </w:rPr>
            <w:t xml:space="preserve"> ∙ </w:t>
          </w:r>
          <w:r w:rsidR="00AD21F7">
            <w:rPr>
              <w:rFonts w:ascii="Tahoma" w:hAnsi="Tahoma" w:cs="Tahoma"/>
              <w:sz w:val="12"/>
              <w:szCs w:val="12"/>
            </w:rPr>
            <w:t>Germany ∙ Phone</w:t>
          </w:r>
          <w:r w:rsidRPr="00AD21F7">
            <w:rPr>
              <w:rFonts w:ascii="Tahoma" w:hAnsi="Tahoma" w:cs="Tahoma"/>
              <w:sz w:val="12"/>
              <w:szCs w:val="12"/>
            </w:rPr>
            <w:t xml:space="preserve"> </w:t>
          </w:r>
          <w:r w:rsidRPr="00113869">
            <w:rPr>
              <w:rFonts w:ascii="Tahoma" w:hAnsi="Tahoma" w:cs="Tahoma"/>
              <w:sz w:val="12"/>
              <w:szCs w:val="12"/>
            </w:rPr>
            <w:t>+49 981 18 06-0 ∙ Fax +49 981 18 06-615</w:t>
          </w:r>
        </w:p>
        <w:p w:rsidR="00113869" w:rsidRPr="00113869" w:rsidRDefault="00113869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  <w:r w:rsidRPr="00CA2D4B">
            <w:rPr>
              <w:rFonts w:ascii="Tahoma" w:hAnsi="Tahoma" w:cs="Tahoma"/>
              <w:sz w:val="12"/>
              <w:szCs w:val="12"/>
            </w:rPr>
            <w:t>Am Weimarer Berg 3</w:t>
          </w:r>
          <w:r w:rsidR="00DA0FBA">
            <w:rPr>
              <w:rFonts w:ascii="Tahoma" w:hAnsi="Tahoma" w:cs="Tahoma"/>
              <w:sz w:val="12"/>
              <w:szCs w:val="12"/>
            </w:rPr>
            <w:t xml:space="preserve"> ∙ </w:t>
          </w:r>
          <w:r w:rsidRPr="00CA2D4B">
            <w:rPr>
              <w:rFonts w:ascii="Tahoma" w:hAnsi="Tahoma" w:cs="Tahoma"/>
              <w:sz w:val="12"/>
              <w:szCs w:val="12"/>
            </w:rPr>
            <w:t>99510 Apolda</w:t>
          </w:r>
          <w:r w:rsidR="00DA0FBA">
            <w:rPr>
              <w:rFonts w:ascii="Tahoma" w:hAnsi="Tahoma" w:cs="Tahoma"/>
              <w:sz w:val="12"/>
              <w:szCs w:val="12"/>
            </w:rPr>
            <w:t xml:space="preserve"> ∙ </w:t>
          </w:r>
          <w:r w:rsidR="00AD21F7">
            <w:rPr>
              <w:rFonts w:ascii="Tahoma" w:hAnsi="Tahoma" w:cs="Tahoma"/>
              <w:sz w:val="12"/>
              <w:szCs w:val="12"/>
            </w:rPr>
            <w:t>Germany ∙ Phone</w:t>
          </w:r>
          <w:r w:rsidRPr="00CA2D4B">
            <w:rPr>
              <w:rFonts w:ascii="Tahoma" w:hAnsi="Tahoma" w:cs="Tahoma"/>
              <w:sz w:val="12"/>
              <w:szCs w:val="12"/>
            </w:rPr>
            <w:t xml:space="preserve"> +49 3644 84 33-0</w:t>
          </w:r>
          <w:r>
            <w:rPr>
              <w:rFonts w:ascii="Tahoma" w:hAnsi="Tahoma" w:cs="Tahoma"/>
              <w:sz w:val="12"/>
              <w:szCs w:val="12"/>
            </w:rPr>
            <w:t xml:space="preserve"> ∙ </w:t>
          </w:r>
          <w:r w:rsidR="00AD21F7">
            <w:rPr>
              <w:rFonts w:ascii="Tahoma" w:hAnsi="Tahoma" w:cs="Tahoma"/>
              <w:sz w:val="12"/>
              <w:szCs w:val="12"/>
            </w:rPr>
            <w:t>Fax</w:t>
          </w:r>
          <w:r w:rsidRPr="00113869">
            <w:rPr>
              <w:rFonts w:ascii="Tahoma" w:hAnsi="Tahoma" w:cs="Tahoma"/>
              <w:sz w:val="12"/>
              <w:szCs w:val="12"/>
            </w:rPr>
            <w:t xml:space="preserve"> +49 3644 84 33-411</w:t>
          </w:r>
        </w:p>
        <w:p w:rsidR="00113869" w:rsidRPr="00113869" w:rsidRDefault="003E5CB9" w:rsidP="003E5CB9">
          <w:pPr>
            <w:pStyle w:val="Fuzeile"/>
            <w:rPr>
              <w:rFonts w:ascii="Tahoma" w:hAnsi="Tahoma" w:cs="Tahoma"/>
              <w:sz w:val="12"/>
              <w:szCs w:val="12"/>
            </w:rPr>
          </w:pPr>
          <w:r w:rsidRPr="003E5CB9">
            <w:rPr>
              <w:rFonts w:ascii="Tahoma" w:hAnsi="Tahoma" w:cs="Tahoma"/>
              <w:sz w:val="12"/>
              <w:szCs w:val="12"/>
            </w:rPr>
            <w:t>info-dmde@diehl.com</w:t>
          </w:r>
          <w:r w:rsidR="00DA0FBA">
            <w:rPr>
              <w:rFonts w:ascii="Tahoma" w:hAnsi="Tahoma" w:cs="Tahoma"/>
              <w:sz w:val="12"/>
              <w:szCs w:val="12"/>
            </w:rPr>
            <w:t xml:space="preserve"> ∙ </w:t>
          </w:r>
          <w:r w:rsidR="00113869" w:rsidRPr="009475E8">
            <w:rPr>
              <w:rFonts w:ascii="Tahoma" w:hAnsi="Tahoma" w:cs="Tahoma"/>
              <w:sz w:val="12"/>
              <w:szCs w:val="12"/>
            </w:rPr>
            <w:t>www.diehl.com/metering</w:t>
          </w:r>
        </w:p>
        <w:p w:rsidR="00113869" w:rsidRDefault="00113869" w:rsidP="00AA356A">
          <w:pPr>
            <w:pStyle w:val="Fuzeile"/>
            <w:rPr>
              <w:rFonts w:ascii="Tahoma" w:hAnsi="Tahoma" w:cs="Tahoma"/>
              <w:sz w:val="12"/>
              <w:szCs w:val="12"/>
            </w:rPr>
          </w:pPr>
        </w:p>
        <w:p w:rsidR="0070038B" w:rsidRPr="00AD21F7" w:rsidRDefault="00AD21F7" w:rsidP="00AD21F7">
          <w:pPr>
            <w:pStyle w:val="Fuzeile"/>
            <w:rPr>
              <w:rFonts w:ascii="Tahoma" w:hAnsi="Tahoma" w:cs="Tahoma"/>
              <w:sz w:val="12"/>
              <w:szCs w:val="12"/>
              <w:lang w:val="en-US"/>
            </w:rPr>
          </w:pPr>
          <w:r w:rsidRPr="00AD21F7">
            <w:rPr>
              <w:rFonts w:ascii="Tahoma" w:hAnsi="Tahoma" w:cs="Tahoma"/>
              <w:sz w:val="12"/>
              <w:szCs w:val="12"/>
              <w:lang w:val="en-US"/>
            </w:rPr>
            <w:t>Subjects to tec</w:t>
          </w:r>
          <w:r w:rsidR="001444A2">
            <w:rPr>
              <w:rFonts w:ascii="Tahoma" w:hAnsi="Tahoma" w:cs="Tahoma"/>
              <w:sz w:val="12"/>
              <w:szCs w:val="12"/>
              <w:lang w:val="en-US"/>
            </w:rPr>
            <w:t>hnical alterations</w:t>
          </w:r>
          <w:r w:rsidR="00DA0FBA" w:rsidRPr="00AD21F7">
            <w:rPr>
              <w:rFonts w:ascii="Tahoma" w:hAnsi="Tahoma" w:cs="Tahoma"/>
              <w:sz w:val="12"/>
              <w:szCs w:val="12"/>
              <w:lang w:val="en-US"/>
            </w:rPr>
            <w:t xml:space="preserve"> ∙ </w:t>
          </w:r>
          <w:r w:rsidR="0070038B" w:rsidRPr="0070038B">
            <w:rPr>
              <w:rFonts w:ascii="Tahoma" w:hAnsi="Tahoma" w:cs="Tahoma"/>
              <w:sz w:val="12"/>
              <w:szCs w:val="12"/>
            </w:rPr>
            <w:fldChar w:fldCharType="begin"/>
          </w:r>
          <w:r w:rsidR="0070038B" w:rsidRPr="0070038B">
            <w:rPr>
              <w:rFonts w:ascii="Tahoma" w:hAnsi="Tahoma" w:cs="Tahoma"/>
              <w:sz w:val="12"/>
              <w:szCs w:val="12"/>
            </w:rPr>
            <w:instrText xml:space="preserve"> SAVEDATE  \@ "dd.MM.yyyy"  \* MERGEFORMAT </w:instrText>
          </w:r>
          <w:r w:rsidR="0070038B" w:rsidRPr="0070038B">
            <w:rPr>
              <w:rFonts w:ascii="Tahoma" w:hAnsi="Tahoma" w:cs="Tahoma"/>
              <w:sz w:val="12"/>
              <w:szCs w:val="12"/>
            </w:rPr>
            <w:fldChar w:fldCharType="separate"/>
          </w:r>
          <w:r w:rsidR="00036C6D">
            <w:rPr>
              <w:rFonts w:ascii="Tahoma" w:hAnsi="Tahoma" w:cs="Tahoma"/>
              <w:noProof/>
              <w:sz w:val="12"/>
              <w:szCs w:val="12"/>
            </w:rPr>
            <w:t>27.08.2014</w:t>
          </w:r>
          <w:r w:rsidR="0070038B" w:rsidRPr="0070038B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  <w:tc>
        <w:tcPr>
          <w:tcW w:w="992" w:type="dxa"/>
        </w:tcPr>
        <w:sdt>
          <w:sdtPr>
            <w:rPr>
              <w:rFonts w:ascii="Tahoma" w:hAnsi="Tahoma" w:cs="Tahoma"/>
              <w:sz w:val="12"/>
              <w:szCs w:val="12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113869" w:rsidRPr="00CA2D4B" w:rsidRDefault="00AD21F7" w:rsidP="00AA356A">
              <w:pPr>
                <w:pStyle w:val="Fuzeile"/>
                <w:rPr>
                  <w:rFonts w:ascii="Tahoma" w:hAnsi="Tahoma" w:cs="Tahoma"/>
                  <w:sz w:val="12"/>
                  <w:szCs w:val="12"/>
                </w:rPr>
              </w:pPr>
              <w:proofErr w:type="spellStart"/>
              <w:r>
                <w:rPr>
                  <w:rFonts w:ascii="Tahoma" w:hAnsi="Tahoma" w:cs="Tahoma"/>
                  <w:sz w:val="12"/>
                  <w:szCs w:val="12"/>
                </w:rPr>
                <w:t>page</w:t>
              </w:r>
              <w:proofErr w:type="spellEnd"/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t xml:space="preserve"> </w:t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instrText>PAGE</w:instrText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036C6D">
                <w:rPr>
                  <w:rFonts w:ascii="Tahoma" w:hAnsi="Tahoma" w:cs="Tahoma"/>
                  <w:noProof/>
                  <w:sz w:val="12"/>
                  <w:szCs w:val="12"/>
                </w:rPr>
                <w:t>1</w:t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  <w:r>
                <w:rPr>
                  <w:rFonts w:ascii="Tahoma" w:hAnsi="Tahoma" w:cs="Tahoma"/>
                  <w:sz w:val="12"/>
                  <w:szCs w:val="1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12"/>
                  <w:szCs w:val="12"/>
                </w:rPr>
                <w:t>of</w:t>
              </w:r>
              <w:proofErr w:type="spellEnd"/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t xml:space="preserve"> </w:t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instrText>NUMPAGES</w:instrText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036C6D">
                <w:rPr>
                  <w:rFonts w:ascii="Tahoma" w:hAnsi="Tahoma" w:cs="Tahoma"/>
                  <w:noProof/>
                  <w:sz w:val="12"/>
                  <w:szCs w:val="12"/>
                </w:rPr>
                <w:t>6</w:t>
              </w:r>
              <w:r w:rsidR="00113869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</w:p>
          </w:sdtContent>
        </w:sdt>
        <w:p w:rsidR="00113869" w:rsidRPr="004865FF" w:rsidRDefault="00113869" w:rsidP="00EB4563">
          <w:pPr>
            <w:pStyle w:val="Fuzeile"/>
            <w:spacing w:before="60" w:after="60"/>
            <w:ind w:right="-209"/>
            <w:rPr>
              <w:rFonts w:ascii="Tahoma" w:hAnsi="Tahoma" w:cs="Tahoma"/>
              <w:color w:val="505F64"/>
              <w:sz w:val="12"/>
              <w:szCs w:val="12"/>
            </w:rPr>
          </w:pPr>
        </w:p>
      </w:tc>
    </w:tr>
  </w:tbl>
  <w:p w:rsidR="00DE2D5C" w:rsidRPr="00DE2D5C" w:rsidRDefault="00DE2D5C" w:rsidP="00DE2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1D" w:rsidRDefault="00A8571D" w:rsidP="00DE2D5C">
      <w:pPr>
        <w:spacing w:after="0" w:line="240" w:lineRule="auto"/>
      </w:pPr>
      <w:r>
        <w:separator/>
      </w:r>
    </w:p>
  </w:footnote>
  <w:footnote w:type="continuationSeparator" w:id="0">
    <w:p w:rsidR="00A8571D" w:rsidRDefault="00A8571D" w:rsidP="00DE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5C" w:rsidRDefault="00DE2D5C" w:rsidP="00DE2D5C">
    <w:pPr>
      <w:pStyle w:val="Kopfzeile"/>
      <w:rPr>
        <w:sz w:val="2"/>
        <w:szCs w:val="2"/>
      </w:rPr>
    </w:pPr>
  </w:p>
  <w:p w:rsidR="00DE2D5C" w:rsidRDefault="00DE2D5C" w:rsidP="00DE2D5C">
    <w:pPr>
      <w:pStyle w:val="Kopfzeile"/>
    </w:pPr>
    <w:r>
      <w:rPr>
        <w:noProof/>
        <w:sz w:val="2"/>
        <w:szCs w:val="2"/>
        <w:lang w:eastAsia="de-DE"/>
      </w:rPr>
      <w:drawing>
        <wp:anchor distT="0" distB="0" distL="114300" distR="114300" simplePos="0" relativeHeight="251662336" behindDoc="1" locked="0" layoutInCell="1" allowOverlap="1" wp14:anchorId="7222188E" wp14:editId="2114EB2F">
          <wp:simplePos x="0" y="0"/>
          <wp:positionH relativeFrom="column">
            <wp:posOffset>4780090</wp:posOffset>
          </wp:positionH>
          <wp:positionV relativeFrom="paragraph">
            <wp:posOffset>133350</wp:posOffset>
          </wp:positionV>
          <wp:extent cx="936000" cy="224877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insolutions_logo_petrol_4c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224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A8F3D9F" wp14:editId="243BC48C">
          <wp:simplePos x="0" y="0"/>
          <wp:positionH relativeFrom="column">
            <wp:posOffset>-1270</wp:posOffset>
          </wp:positionH>
          <wp:positionV relativeFrom="paragraph">
            <wp:posOffset>143510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2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D5C" w:rsidRDefault="00DE2D5C" w:rsidP="00DE2D5C">
    <w:pPr>
      <w:pStyle w:val="Kopfzeile"/>
    </w:pPr>
  </w:p>
  <w:p w:rsidR="00DE2D5C" w:rsidRDefault="00DE2D5C" w:rsidP="00DE2D5C">
    <w:pPr>
      <w:pStyle w:val="Kopfzeile"/>
    </w:pPr>
  </w:p>
  <w:p w:rsidR="00DE2D5C" w:rsidRDefault="00DE2D5C" w:rsidP="00DE2D5C">
    <w:pPr>
      <w:pStyle w:val="Kopfzeile"/>
      <w:ind w:firstLine="708"/>
    </w:pPr>
  </w:p>
  <w:p w:rsidR="00DE2D5C" w:rsidRDefault="00DE2D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5C" w:rsidRDefault="00DE2D5C" w:rsidP="00DE2D5C">
    <w:pPr>
      <w:pStyle w:val="Kopfzeile"/>
      <w:rPr>
        <w:sz w:val="2"/>
        <w:szCs w:val="2"/>
      </w:rPr>
    </w:pPr>
  </w:p>
  <w:p w:rsidR="00DE2D5C" w:rsidRDefault="00DE2D5C" w:rsidP="00DE2D5C">
    <w:pPr>
      <w:pStyle w:val="Kopfzeile"/>
    </w:pPr>
    <w:r>
      <w:rPr>
        <w:noProof/>
        <w:sz w:val="2"/>
        <w:szCs w:val="2"/>
        <w:lang w:eastAsia="de-DE"/>
      </w:rPr>
      <w:drawing>
        <wp:anchor distT="0" distB="0" distL="114300" distR="114300" simplePos="0" relativeHeight="251659264" behindDoc="1" locked="0" layoutInCell="1" allowOverlap="1" wp14:anchorId="23EFE2C9" wp14:editId="44DC0E23">
          <wp:simplePos x="0" y="0"/>
          <wp:positionH relativeFrom="column">
            <wp:posOffset>4780090</wp:posOffset>
          </wp:positionH>
          <wp:positionV relativeFrom="paragraph">
            <wp:posOffset>133350</wp:posOffset>
          </wp:positionV>
          <wp:extent cx="936000" cy="224877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insolutions_logo_petrol_4c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224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9173BBE" wp14:editId="1B5BB880">
          <wp:simplePos x="0" y="0"/>
          <wp:positionH relativeFrom="column">
            <wp:posOffset>-1270</wp:posOffset>
          </wp:positionH>
          <wp:positionV relativeFrom="paragraph">
            <wp:posOffset>143510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6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D5C" w:rsidRDefault="00DE2D5C">
    <w:pPr>
      <w:pStyle w:val="Kopfzeile"/>
    </w:pPr>
  </w:p>
  <w:p w:rsidR="00DE2D5C" w:rsidRDefault="00DE2D5C">
    <w:pPr>
      <w:pStyle w:val="Kopfzeile"/>
    </w:pPr>
  </w:p>
  <w:p w:rsidR="00DE2D5C" w:rsidRDefault="00DE2D5C">
    <w:pPr>
      <w:pStyle w:val="Kopfzeile"/>
    </w:pPr>
  </w:p>
  <w:p w:rsidR="00DE2D5C" w:rsidRDefault="00DE2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C"/>
    <w:rsid w:val="00024706"/>
    <w:rsid w:val="00036C6D"/>
    <w:rsid w:val="00046A56"/>
    <w:rsid w:val="00113869"/>
    <w:rsid w:val="001444A2"/>
    <w:rsid w:val="00382658"/>
    <w:rsid w:val="003A0082"/>
    <w:rsid w:val="003E5CB9"/>
    <w:rsid w:val="005E232A"/>
    <w:rsid w:val="0070038B"/>
    <w:rsid w:val="009475E8"/>
    <w:rsid w:val="00A8571D"/>
    <w:rsid w:val="00AD21F7"/>
    <w:rsid w:val="00B40C75"/>
    <w:rsid w:val="00B97ACE"/>
    <w:rsid w:val="00DA0FBA"/>
    <w:rsid w:val="00DD7C1E"/>
    <w:rsid w:val="00DE2D5C"/>
    <w:rsid w:val="00EB4563"/>
    <w:rsid w:val="00F1157D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D5C"/>
  </w:style>
  <w:style w:type="paragraph" w:styleId="Fuzeile">
    <w:name w:val="footer"/>
    <w:basedOn w:val="Standard"/>
    <w:link w:val="FuzeileZchn"/>
    <w:unhideWhenUsed/>
    <w:rsid w:val="00DE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D5C"/>
  </w:style>
  <w:style w:type="table" w:styleId="Tabellenraster">
    <w:name w:val="Table Grid"/>
    <w:basedOn w:val="NormaleTabelle"/>
    <w:rsid w:val="00DE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E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D5C"/>
  </w:style>
  <w:style w:type="paragraph" w:styleId="Fuzeile">
    <w:name w:val="footer"/>
    <w:basedOn w:val="Standard"/>
    <w:link w:val="FuzeileZchn"/>
    <w:unhideWhenUsed/>
    <w:rsid w:val="00DE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D5C"/>
  </w:style>
  <w:style w:type="table" w:styleId="Tabellenraster">
    <w:name w:val="Table Grid"/>
    <w:basedOn w:val="NormaleTabelle"/>
    <w:rsid w:val="00DE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E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12EC-AB70-4398-85C0-BA97EB64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Metering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Fees</dc:creator>
  <cp:lastModifiedBy>Vincent Lörler</cp:lastModifiedBy>
  <cp:revision>6</cp:revision>
  <dcterms:created xsi:type="dcterms:W3CDTF">2014-05-15T06:43:00Z</dcterms:created>
  <dcterms:modified xsi:type="dcterms:W3CDTF">2014-08-27T11:14:00Z</dcterms:modified>
</cp:coreProperties>
</file>